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2A" w:rsidRPr="00AD1EBC" w:rsidRDefault="00294B2A" w:rsidP="00294B2A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2"/>
          <w:lang w:eastAsia="ru-RU"/>
        </w:rPr>
      </w:pPr>
      <w:r w:rsidRPr="00AD1EBC">
        <w:rPr>
          <w:rFonts w:ascii="Times New Roman" w:eastAsia="Times New Roman" w:hAnsi="Times New Roman"/>
          <w:b/>
          <w:bCs/>
          <w:color w:val="FF0000"/>
          <w:sz w:val="36"/>
          <w:szCs w:val="32"/>
          <w:lang w:eastAsia="ru-RU"/>
        </w:rPr>
        <w:t>ПАМЯТКА</w:t>
      </w:r>
    </w:p>
    <w:p w:rsidR="00294B2A" w:rsidRPr="00AD1EBC" w:rsidRDefault="00294B2A" w:rsidP="00294B2A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b/>
          <w:color w:val="FF0000"/>
          <w:sz w:val="36"/>
          <w:szCs w:val="32"/>
          <w:lang w:eastAsia="ru-RU"/>
        </w:rPr>
      </w:pPr>
      <w:proofErr w:type="gramStart"/>
      <w:r w:rsidRPr="00AD1EBC">
        <w:rPr>
          <w:rFonts w:ascii="Times New Roman" w:eastAsia="Times New Roman" w:hAnsi="Times New Roman"/>
          <w:b/>
          <w:color w:val="FF0000"/>
          <w:sz w:val="36"/>
          <w:szCs w:val="32"/>
          <w:lang w:eastAsia="ru-RU"/>
        </w:rPr>
        <w:t>об</w:t>
      </w:r>
      <w:proofErr w:type="gramEnd"/>
      <w:r w:rsidRPr="00AD1EBC">
        <w:rPr>
          <w:rFonts w:ascii="Times New Roman" w:eastAsia="Times New Roman" w:hAnsi="Times New Roman"/>
          <w:b/>
          <w:color w:val="FF0000"/>
          <w:sz w:val="36"/>
          <w:szCs w:val="32"/>
          <w:lang w:eastAsia="ru-RU"/>
        </w:rPr>
        <w:t xml:space="preserve"> использовании детского удерживающего устройства </w:t>
      </w:r>
    </w:p>
    <w:p w:rsidR="00294B2A" w:rsidRPr="0057021C" w:rsidRDefault="00294B2A" w:rsidP="00294B2A">
      <w:p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94B2A" w:rsidRPr="00AD1EBC" w:rsidRDefault="00AD1EBC" w:rsidP="00294B2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D1EBC">
        <w:rPr>
          <w:rFonts w:ascii="Times New Roman" w:eastAsia="Times New Roman" w:hAnsi="Times New Roman"/>
          <w:noProof/>
          <w:color w:val="000000"/>
          <w:sz w:val="36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 wp14:anchorId="17EE9AAF" wp14:editId="37B0EE30">
            <wp:simplePos x="0" y="0"/>
            <wp:positionH relativeFrom="column">
              <wp:posOffset>47625</wp:posOffset>
            </wp:positionH>
            <wp:positionV relativeFrom="paragraph">
              <wp:posOffset>13335</wp:posOffset>
            </wp:positionV>
            <wp:extent cx="2524125" cy="2600325"/>
            <wp:effectExtent l="0" t="0" r="0" b="0"/>
            <wp:wrapSquare wrapText="bothSides"/>
            <wp:docPr id="5" name="Рисунок 1" descr="http://nashesilino.ru/upload/iblock/a5d/a5db6e6722e34ebe21071f4ba7a9d4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silino.ru/upload/iblock/a5d/a5db6e6722e34ebe21071f4ba7a9d46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r="2930"/>
                    <a:stretch/>
                  </pic:blipFill>
                  <pic:spPr bwMode="auto">
                    <a:xfrm>
                      <a:off x="0" y="0"/>
                      <a:ext cx="2524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2A"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Ожидаемые с 01.01.2017г. </w:t>
      </w:r>
      <w:r w:rsidR="00294B2A" w:rsidRPr="00AD1EBC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изменения в п.22.9 ПДД РФ</w:t>
      </w:r>
      <w:r w:rsidR="00294B2A"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в части </w:t>
      </w:r>
      <w:r w:rsidR="00294B2A" w:rsidRPr="00AD1EBC">
        <w:rPr>
          <w:rFonts w:ascii="Times New Roman" w:hAnsi="Times New Roman"/>
          <w:color w:val="000000"/>
          <w:sz w:val="32"/>
          <w:szCs w:val="28"/>
        </w:rPr>
        <w:t xml:space="preserve">перевозки детей-пассажиров </w:t>
      </w:r>
      <w:r w:rsidR="00294B2A" w:rsidRPr="00AD1EBC">
        <w:rPr>
          <w:rFonts w:ascii="Times New Roman" w:hAnsi="Times New Roman"/>
          <w:b/>
          <w:color w:val="000000"/>
          <w:sz w:val="32"/>
          <w:szCs w:val="28"/>
        </w:rPr>
        <w:t>не произошли.</w:t>
      </w:r>
      <w:r w:rsidR="00294B2A" w:rsidRPr="00AD1EBC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294B2A"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Условия обеспечения безопасности ребенка при перевозке в транспортных средствах изложены в национальном стандарте Российской Федерации ГОСТ Р 41.44. </w:t>
      </w:r>
    </w:p>
    <w:p w:rsidR="00294B2A" w:rsidRPr="00AD1EBC" w:rsidRDefault="00294B2A" w:rsidP="00294B2A">
      <w:pPr>
        <w:pStyle w:val="31"/>
        <w:tabs>
          <w:tab w:val="left" w:pos="0"/>
        </w:tabs>
        <w:ind w:left="0" w:firstLine="720"/>
        <w:jc w:val="both"/>
        <w:rPr>
          <w:sz w:val="32"/>
          <w:szCs w:val="28"/>
        </w:rPr>
      </w:pPr>
      <w:r w:rsidRPr="00AD1EBC">
        <w:rPr>
          <w:color w:val="000000"/>
          <w:sz w:val="32"/>
          <w:szCs w:val="28"/>
        </w:rPr>
        <w:t xml:space="preserve">В соответствии с п. 22.9 ПДД РФ </w:t>
      </w:r>
      <w:r w:rsidRPr="00AD1EBC">
        <w:rPr>
          <w:sz w:val="32"/>
          <w:szCs w:val="28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</w:t>
      </w:r>
      <w:r w:rsidRPr="00AD1EBC">
        <w:rPr>
          <w:b/>
          <w:sz w:val="32"/>
          <w:szCs w:val="28"/>
        </w:rPr>
        <w:t>детских удерживающих устройств</w:t>
      </w:r>
      <w:r w:rsidRPr="00AD1EBC">
        <w:rPr>
          <w:sz w:val="32"/>
          <w:szCs w:val="28"/>
        </w:rPr>
        <w:t xml:space="preserve">, соответствующих весу и росту ребенка, или </w:t>
      </w:r>
      <w:r w:rsidRPr="00AD1EBC">
        <w:rPr>
          <w:b/>
          <w:sz w:val="32"/>
          <w:szCs w:val="28"/>
        </w:rPr>
        <w:t>иных средств</w:t>
      </w:r>
      <w:r w:rsidRPr="00AD1EBC">
        <w:rPr>
          <w:sz w:val="32"/>
          <w:szCs w:val="28"/>
        </w:rPr>
        <w:t>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</w:r>
    </w:p>
    <w:p w:rsidR="00294B2A" w:rsidRPr="00AD1EBC" w:rsidRDefault="00294B2A" w:rsidP="00294B2A">
      <w:p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AD1EBC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Бустер </w:t>
      </w:r>
      <w:r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можно использовать только на заднем сиденье автомобиля и только при условии, что рост ребенка составляет не менее </w:t>
      </w:r>
      <w:smartTag w:uri="urn:schemas-microsoft-com:office:smarttags" w:element="metricconverter">
        <w:smartTagPr>
          <w:attr w:name="ProductID" w:val="140 см"/>
        </w:smartTagPr>
        <w:r w:rsidRPr="00AD1EBC">
          <w:rPr>
            <w:rFonts w:ascii="Times New Roman" w:eastAsia="Times New Roman" w:hAnsi="Times New Roman"/>
            <w:color w:val="000000"/>
            <w:sz w:val="32"/>
            <w:szCs w:val="28"/>
            <w:lang w:eastAsia="ru-RU"/>
          </w:rPr>
          <w:t>140 см</w:t>
        </w:r>
      </w:smartTag>
      <w:r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, а вес от </w:t>
      </w:r>
      <w:smartTag w:uri="urn:schemas-microsoft-com:office:smarttags" w:element="metricconverter">
        <w:smartTagPr>
          <w:attr w:name="ProductID" w:val="25 кг"/>
        </w:smartTagPr>
        <w:r w:rsidRPr="00AD1EBC">
          <w:rPr>
            <w:rFonts w:ascii="Times New Roman" w:eastAsia="Times New Roman" w:hAnsi="Times New Roman"/>
            <w:color w:val="000000"/>
            <w:sz w:val="32"/>
            <w:szCs w:val="28"/>
            <w:lang w:eastAsia="ru-RU"/>
          </w:rPr>
          <w:t>25 кг</w:t>
        </w:r>
      </w:smartTag>
      <w:r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 На переднем сиденье бустер должен использоваться в сочетании с «направляющей лямкой» для штатного ремня безопасности. Только в комплекте они образуют детское удерживающее устройство</w:t>
      </w:r>
      <w:r w:rsidRPr="00AD1EBC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. Без «направляющей лямки» перевозка детей в бустере на переднем сиденье запрещена.</w:t>
      </w:r>
      <w:bookmarkStart w:id="0" w:name="_GoBack"/>
      <w:bookmarkEnd w:id="0"/>
    </w:p>
    <w:tbl>
      <w:tblPr>
        <w:tblpPr w:leftFromText="45" w:rightFromText="45" w:vertAnchor="text" w:horzAnchor="margin" w:tblpXSpec="right" w:tblpY="1598"/>
        <w:tblW w:w="2997" w:type="dxa"/>
        <w:tblCellSpacing w:w="0" w:type="dxa"/>
        <w:tblBorders>
          <w:top w:val="outset" w:sz="8" w:space="0" w:color="0099FF"/>
          <w:left w:val="outset" w:sz="8" w:space="0" w:color="0099FF"/>
          <w:bottom w:val="outset" w:sz="8" w:space="0" w:color="0099FF"/>
          <w:right w:val="outset" w:sz="8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701"/>
      </w:tblGrid>
      <w:tr w:rsidR="00AD1EBC" w:rsidRPr="00AD1EBC" w:rsidTr="00AD1EBC">
        <w:trPr>
          <w:trHeight w:val="546"/>
          <w:tblCellSpacing w:w="0" w:type="dxa"/>
        </w:trPr>
        <w:tc>
          <w:tcPr>
            <w:tcW w:w="1296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66FFFF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b/>
                <w:bCs/>
                <w:color w:val="222222"/>
                <w:szCs w:val="20"/>
                <w:lang w:eastAsia="ru-RU"/>
              </w:rPr>
              <w:t>Группа кресел</w:t>
            </w:r>
          </w:p>
        </w:tc>
        <w:tc>
          <w:tcPr>
            <w:tcW w:w="1701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66FFFF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b/>
                <w:bCs/>
                <w:color w:val="222222"/>
                <w:szCs w:val="20"/>
                <w:lang w:eastAsia="ru-RU"/>
              </w:rPr>
              <w:t>Вес ребенка</w:t>
            </w:r>
          </w:p>
        </w:tc>
      </w:tr>
      <w:tr w:rsidR="00AD1EBC" w:rsidRPr="00AD1EBC" w:rsidTr="00AD1EBC">
        <w:trPr>
          <w:trHeight w:val="467"/>
          <w:tblCellSpacing w:w="0" w:type="dxa"/>
        </w:trPr>
        <w:tc>
          <w:tcPr>
            <w:tcW w:w="1296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color w:val="222222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color w:val="222222"/>
                <w:szCs w:val="20"/>
                <w:lang w:eastAsia="ru-RU"/>
              </w:rPr>
              <w:t>0—10 кг.</w:t>
            </w:r>
          </w:p>
        </w:tc>
      </w:tr>
      <w:tr w:rsidR="00AD1EBC" w:rsidRPr="00AD1EBC" w:rsidTr="00AD1EBC">
        <w:trPr>
          <w:trHeight w:val="467"/>
          <w:tblCellSpacing w:w="0" w:type="dxa"/>
        </w:trPr>
        <w:tc>
          <w:tcPr>
            <w:tcW w:w="1296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color w:val="222222"/>
                <w:szCs w:val="20"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color w:val="222222"/>
                <w:szCs w:val="20"/>
                <w:lang w:eastAsia="ru-RU"/>
              </w:rPr>
              <w:t>0—13 кг.</w:t>
            </w:r>
          </w:p>
        </w:tc>
      </w:tr>
      <w:tr w:rsidR="00AD1EBC" w:rsidRPr="00AD1EBC" w:rsidTr="00AD1EBC">
        <w:trPr>
          <w:trHeight w:val="496"/>
          <w:tblCellSpacing w:w="0" w:type="dxa"/>
        </w:trPr>
        <w:tc>
          <w:tcPr>
            <w:tcW w:w="1296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color w:val="222222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color w:val="222222"/>
                <w:szCs w:val="20"/>
                <w:lang w:eastAsia="ru-RU"/>
              </w:rPr>
              <w:t>9—18 кг.</w:t>
            </w:r>
          </w:p>
        </w:tc>
      </w:tr>
      <w:tr w:rsidR="00AD1EBC" w:rsidRPr="00AD1EBC" w:rsidTr="00AD1EBC">
        <w:trPr>
          <w:trHeight w:val="467"/>
          <w:tblCellSpacing w:w="0" w:type="dxa"/>
        </w:trPr>
        <w:tc>
          <w:tcPr>
            <w:tcW w:w="1296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color w:val="222222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color w:val="222222"/>
                <w:szCs w:val="20"/>
                <w:lang w:eastAsia="ru-RU"/>
              </w:rPr>
              <w:t>15—25 кг.</w:t>
            </w:r>
          </w:p>
        </w:tc>
      </w:tr>
      <w:tr w:rsidR="00AD1EBC" w:rsidRPr="00AD1EBC" w:rsidTr="00AD1EBC">
        <w:trPr>
          <w:trHeight w:val="467"/>
          <w:tblCellSpacing w:w="0" w:type="dxa"/>
        </w:trPr>
        <w:tc>
          <w:tcPr>
            <w:tcW w:w="1296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color w:val="222222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8" w:space="0" w:color="0099FF"/>
              <w:left w:val="outset" w:sz="8" w:space="0" w:color="0099FF"/>
              <w:bottom w:val="outset" w:sz="8" w:space="0" w:color="0099FF"/>
              <w:right w:val="outset" w:sz="8" w:space="0" w:color="0099FF"/>
            </w:tcBorders>
            <w:shd w:val="clear" w:color="auto" w:fill="auto"/>
            <w:vAlign w:val="center"/>
          </w:tcPr>
          <w:p w:rsidR="00AD1EBC" w:rsidRPr="00AD1EBC" w:rsidRDefault="00AD1EBC" w:rsidP="00AD1EB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D1EBC">
              <w:rPr>
                <w:rFonts w:ascii="Times New Roman" w:eastAsia="Times New Roman" w:hAnsi="Times New Roman"/>
                <w:color w:val="222222"/>
                <w:szCs w:val="20"/>
                <w:lang w:eastAsia="ru-RU"/>
              </w:rPr>
              <w:t>22—36 кг.</w:t>
            </w:r>
          </w:p>
        </w:tc>
      </w:tr>
    </w:tbl>
    <w:p w:rsidR="00294B2A" w:rsidRPr="00AD1EBC" w:rsidRDefault="00294B2A" w:rsidP="00AD1EBC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С января 2017 года ГОССТАНДАРТ приостановил реализацию адаптеров ремня безопасности фирмы «ФЭСТ» в связи с их небезопасностью, поэтому необходимо использовать для безопасности ребенка в автомобиле только детское удерживающее устройство, соответствующее весу и возрасту ребенка, а также правильно установленное. Самое безопасное место для установки детского удерживающего </w:t>
      </w:r>
      <w:proofErr w:type="gramStart"/>
      <w:r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устройства  -</w:t>
      </w:r>
      <w:proofErr w:type="gramEnd"/>
      <w:r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 w:rsidRPr="00AD1EBC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на заднем пассажирском сидении посередине</w:t>
      </w:r>
      <w:r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</w:t>
      </w:r>
    </w:p>
    <w:p w:rsidR="0028743D" w:rsidRPr="00AD1EBC" w:rsidRDefault="00004BF7" w:rsidP="00AD1EBC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AD1EBC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На автокресле, также как и на бустере обязательно должна быть маркировка соответствия Европейскому стандарту безопасности — ЕСЕ R44/03 или ЕСЕ R44/O4. Кроме того, в России кресла подлежат обязательной сертификации.</w:t>
      </w:r>
    </w:p>
    <w:sectPr w:rsidR="0028743D" w:rsidRPr="00AD1EBC" w:rsidSect="00AD1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B2A"/>
    <w:rsid w:val="00004BF7"/>
    <w:rsid w:val="0028743D"/>
    <w:rsid w:val="00294B2A"/>
    <w:rsid w:val="00A536FF"/>
    <w:rsid w:val="00AD1EBC"/>
    <w:rsid w:val="00D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4CFE28-306E-473C-9A29-D84BF81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2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94B2A"/>
    <w:pPr>
      <w:overflowPunct w:val="0"/>
      <w:autoSpaceDE w:val="0"/>
      <w:autoSpaceDN w:val="0"/>
      <w:adjustRightInd w:val="0"/>
      <w:spacing w:before="0" w:beforeAutospacing="0" w:after="0" w:afterAutospacing="0"/>
      <w:ind w:left="567" w:hanging="567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B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Организаторы</cp:lastModifiedBy>
  <cp:revision>5</cp:revision>
  <cp:lastPrinted>2017-03-09T04:54:00Z</cp:lastPrinted>
  <dcterms:created xsi:type="dcterms:W3CDTF">2017-02-09T12:53:00Z</dcterms:created>
  <dcterms:modified xsi:type="dcterms:W3CDTF">2017-03-09T04:55:00Z</dcterms:modified>
</cp:coreProperties>
</file>